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center"/>
        <w:outlineLvl w:val="2"/>
        <w:rPr>
          <w:rFonts w:eastAsia="Times New Roman" w:cs="Times New Roman"/>
          <w:b/>
          <w:bCs/>
          <w:color w:val="333333"/>
          <w:kern w:val="0"/>
          <w:lang w:eastAsia="ru-RU" w:bidi="ar-SA"/>
        </w:rPr>
      </w:pPr>
      <w:r w:rsidRPr="00BC52E0">
        <w:rPr>
          <w:rFonts w:eastAsia="Times New Roman" w:cs="Times New Roman"/>
          <w:b/>
          <w:bCs/>
          <w:color w:val="333333"/>
          <w:kern w:val="0"/>
          <w:lang w:eastAsia="ru-RU" w:bidi="ar-SA"/>
        </w:rP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8"/>
        <w:gridCol w:w="5757"/>
      </w:tblGrid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  <w:t>Исследователи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  <w:t>Отрицательные эффекты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Burnett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and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Lee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, 2005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Day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J.J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2007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Формирование психологической зависимости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Ophir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2009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Черненков Ю.В. и др., 2009;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Pagani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L.S.,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., 2010;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Nathanson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A.I.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., 2014;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Moreira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, G.A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2017; Григорьев Ю.Г. и др., 2017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Гиперактивность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Panda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N.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2010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Нарушения фонематического восприятия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Sparrow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2011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Запоминают не саму информацию, а место, где эта информация может быть доступна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 xml:space="preserve">Lu M. et al., 2012 L.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Hardell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 xml:space="preserve"> et al., 2013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Риски доброкачественных и злокачественных опухолей головного мозга, слухового нерва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Ralph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2013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Более высокие уровни ежедневных сбоев внимания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Thornton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2014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«Простое присутствие»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Lepp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2014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Положительная корреляция между использованием смартфона и беспокойством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Owens, J.A. et al., 2014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Задержка начала сна, сокращение ночного сна, прерывистый сон, дневная сонливость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Stothart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2015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Barr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2015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Большее использования смартфона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коррелирует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с </w:t>
            </w:r>
            <w:proofErr w:type="gram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более интуитивным</w:t>
            </w:r>
            <w:proofErr w:type="gram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и менее аналитическим мышлением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Moisala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 xml:space="preserve"> et al., 2016;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Lepp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 xml:space="preserve"> A et al. 2015;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Beland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 xml:space="preserve"> L.-P., 2015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При наличии раздражителей, отвлекающих внимание во время задачи постоянного внимания, «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многозадачники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» работают хуже и больше активности в правой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префронтальной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коре, отмечается снижение успеваемости</w:t>
            </w:r>
          </w:p>
        </w:tc>
      </w:tr>
      <w:tr w:rsidR="00BC52E0" w:rsidRPr="00BC52E0" w:rsidTr="00D65058"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Cain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et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 </w:t>
            </w:r>
            <w:proofErr w:type="spellStart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al</w:t>
            </w:r>
            <w:proofErr w:type="spellEnd"/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., 2016</w:t>
            </w:r>
          </w:p>
        </w:tc>
        <w:tc>
          <w:tcPr>
            <w:tcW w:w="0" w:type="auto"/>
            <w:shd w:val="clear" w:color="auto" w:fill="FFFFFF"/>
            <w:hideMark/>
          </w:tcPr>
          <w:p w:rsidR="00BC52E0" w:rsidRPr="00BC52E0" w:rsidRDefault="00BC52E0" w:rsidP="00BC52E0">
            <w:pPr>
              <w:widowControl/>
              <w:suppressAutoHyphens w:val="0"/>
              <w:jc w:val="both"/>
              <w:rPr>
                <w:rFonts w:eastAsia="Times New Roman" w:cs="Times New Roman"/>
                <w:color w:val="333333"/>
                <w:kern w:val="0"/>
                <w:lang w:eastAsia="ru-RU" w:bidi="ar-SA"/>
              </w:rPr>
            </w:pPr>
            <w:r w:rsidRPr="00BC52E0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center"/>
        <w:outlineLvl w:val="2"/>
        <w:rPr>
          <w:rFonts w:eastAsia="Times New Roman" w:cs="Times New Roman"/>
          <w:b/>
          <w:bCs/>
          <w:color w:val="333333"/>
          <w:kern w:val="0"/>
          <w:sz w:val="36"/>
          <w:lang w:eastAsia="ru-RU" w:bidi="ar-SA"/>
        </w:rPr>
      </w:pPr>
      <w:r w:rsidRPr="00BC52E0">
        <w:rPr>
          <w:rFonts w:eastAsia="Times New Roman" w:cs="Times New Roman"/>
          <w:b/>
          <w:bCs/>
          <w:color w:val="333333"/>
          <w:kern w:val="0"/>
          <w:sz w:val="36"/>
          <w:lang w:eastAsia="ru-RU" w:bidi="ar-SA"/>
        </w:rPr>
        <w:lastRenderedPageBreak/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center"/>
        <w:outlineLvl w:val="2"/>
        <w:rPr>
          <w:rFonts w:eastAsia="Times New Roman" w:cs="Times New Roman"/>
          <w:b/>
          <w:bCs/>
          <w:color w:val="333333"/>
          <w:kern w:val="0"/>
          <w:sz w:val="36"/>
          <w:lang w:eastAsia="ru-RU" w:bidi="ar-SA"/>
        </w:rPr>
      </w:pP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sz w:val="40"/>
          <w:lang w:eastAsia="ru-RU" w:bidi="ar-SA"/>
        </w:rPr>
      </w:pPr>
      <w:r w:rsidRPr="00BC52E0">
        <w:rPr>
          <w:rFonts w:eastAsia="Times New Roman" w:cs="Times New Roman"/>
          <w:color w:val="333333"/>
          <w:kern w:val="0"/>
          <w:sz w:val="40"/>
          <w:lang w:eastAsia="ru-RU" w:bidi="ar-SA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sz w:val="40"/>
          <w:lang w:eastAsia="ru-RU" w:bidi="ar-SA"/>
        </w:rPr>
      </w:pPr>
      <w:r w:rsidRPr="00BC52E0">
        <w:rPr>
          <w:rFonts w:eastAsia="Times New Roman" w:cs="Times New Roman"/>
          <w:color w:val="333333"/>
          <w:kern w:val="0"/>
          <w:sz w:val="40"/>
          <w:lang w:eastAsia="ru-RU" w:bidi="ar-SA"/>
        </w:rPr>
        <w:t>2. Максимальное сокращение времени контакта с устройствами мобильной связи.</w:t>
      </w: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sz w:val="40"/>
          <w:lang w:eastAsia="ru-RU" w:bidi="ar-SA"/>
        </w:rPr>
      </w:pPr>
      <w:r w:rsidRPr="00BC52E0">
        <w:rPr>
          <w:rFonts w:eastAsia="Times New Roman" w:cs="Times New Roman"/>
          <w:color w:val="333333"/>
          <w:kern w:val="0"/>
          <w:sz w:val="40"/>
          <w:lang w:eastAsia="ru-RU" w:bidi="ar-SA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sz w:val="40"/>
          <w:lang w:eastAsia="ru-RU" w:bidi="ar-SA"/>
        </w:rPr>
      </w:pPr>
      <w:r w:rsidRPr="00BC52E0">
        <w:rPr>
          <w:rFonts w:eastAsia="Times New Roman" w:cs="Times New Roman"/>
          <w:color w:val="333333"/>
          <w:kern w:val="0"/>
          <w:sz w:val="40"/>
          <w:lang w:eastAsia="ru-RU" w:bidi="ar-SA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BC52E0" w:rsidRPr="00BC52E0" w:rsidRDefault="00BC52E0" w:rsidP="00BC52E0">
      <w:pPr>
        <w:widowControl/>
        <w:shd w:val="clear" w:color="auto" w:fill="FFFFFF"/>
        <w:suppressAutoHyphens w:val="0"/>
        <w:spacing w:after="255" w:line="270" w:lineRule="atLeast"/>
        <w:jc w:val="both"/>
        <w:rPr>
          <w:rFonts w:eastAsia="Times New Roman" w:cs="Times New Roman"/>
          <w:color w:val="333333"/>
          <w:kern w:val="0"/>
          <w:sz w:val="40"/>
          <w:lang w:eastAsia="ru-RU" w:bidi="ar-SA"/>
        </w:rPr>
      </w:pPr>
      <w:r w:rsidRPr="00BC52E0">
        <w:rPr>
          <w:rFonts w:eastAsia="Times New Roman" w:cs="Times New Roman"/>
          <w:color w:val="333333"/>
          <w:kern w:val="0"/>
          <w:sz w:val="40"/>
          <w:lang w:eastAsia="ru-RU" w:bidi="ar-SA"/>
        </w:rPr>
        <w:t>5. Размещение устройств мобильной связи на ночь на расстоянии более 2 метров от головы.</w:t>
      </w:r>
    </w:p>
    <w:p w:rsidR="00BC52E0" w:rsidRPr="00BC52E0" w:rsidRDefault="00BC52E0" w:rsidP="00BC52E0">
      <w:pPr>
        <w:jc w:val="both"/>
        <w:rPr>
          <w:rFonts w:cs="Times New Roman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4"/>
          <w:szCs w:val="24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4"/>
          <w:szCs w:val="24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4"/>
          <w:szCs w:val="24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4"/>
          <w:szCs w:val="24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4"/>
          <w:szCs w:val="24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4"/>
          <w:szCs w:val="24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4"/>
          <w:szCs w:val="24"/>
        </w:rPr>
      </w:pPr>
    </w:p>
    <w:p w:rsidR="00BC52E0" w:rsidRPr="00BC52E0" w:rsidRDefault="00BC52E0" w:rsidP="00BC52E0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4"/>
          <w:szCs w:val="24"/>
        </w:rPr>
      </w:pPr>
      <w:r w:rsidRPr="00BC52E0">
        <w:rPr>
          <w:color w:val="333333"/>
          <w:sz w:val="24"/>
          <w:szCs w:val="24"/>
        </w:rPr>
        <w:lastRenderedPageBreak/>
        <w:t>Международный опыт регламентации требований к режиму использования устройств мобильной связи в образовательных организациях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</w:t>
      </w:r>
      <w:proofErr w:type="spellStart"/>
      <w:r w:rsidRPr="00BC52E0">
        <w:rPr>
          <w:color w:val="333333"/>
        </w:rPr>
        <w:t>гиперактивностью</w:t>
      </w:r>
      <w:proofErr w:type="spellEnd"/>
      <w:r w:rsidRPr="00BC52E0">
        <w:rPr>
          <w:color w:val="333333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hyperlink r:id="rId4" w:anchor="1111" w:history="1">
        <w:r w:rsidRPr="00BC52E0">
          <w:rPr>
            <w:rStyle w:val="a4"/>
            <w:color w:val="808080"/>
            <w:bdr w:val="none" w:sz="0" w:space="0" w:color="auto" w:frame="1"/>
            <w:vertAlign w:val="superscript"/>
          </w:rPr>
          <w:t>1</w:t>
        </w:r>
      </w:hyperlink>
      <w:r w:rsidRPr="00BC52E0">
        <w:rPr>
          <w:color w:val="333333"/>
        </w:rPr>
        <w:t>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BC52E0">
        <w:rPr>
          <w:color w:val="333333"/>
        </w:rPr>
        <w:t>гипервозбужденности</w:t>
      </w:r>
      <w:proofErr w:type="spellEnd"/>
      <w:r w:rsidRPr="00BC52E0">
        <w:rPr>
          <w:color w:val="333333"/>
        </w:rPr>
        <w:t xml:space="preserve"> перед сном.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Pr="00BC52E0">
        <w:rPr>
          <w:color w:val="333333"/>
        </w:rPr>
        <w:t>аудиомоторной</w:t>
      </w:r>
      <w:proofErr w:type="spellEnd"/>
      <w:r w:rsidRPr="00BC52E0">
        <w:rPr>
          <w:color w:val="333333"/>
        </w:rPr>
        <w:t xml:space="preserve"> реакции, нарушений фонематического восприятия, раздражительности, нарушений сна.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>Так, во Франции принят закон, запрещающий в школах все виды мобильных телефонов, а также планшеты и смарт-часы</w:t>
      </w:r>
      <w:hyperlink r:id="rId5" w:anchor="2222" w:history="1">
        <w:r w:rsidRPr="00BC52E0">
          <w:rPr>
            <w:rStyle w:val="a4"/>
            <w:color w:val="808080"/>
            <w:bdr w:val="none" w:sz="0" w:space="0" w:color="auto" w:frame="1"/>
            <w:vertAlign w:val="superscript"/>
          </w:rPr>
          <w:t>2</w:t>
        </w:r>
      </w:hyperlink>
      <w:r w:rsidRPr="00BC52E0">
        <w:rPr>
          <w:color w:val="333333"/>
        </w:rPr>
        <w:t>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>В Бельгии</w:t>
      </w:r>
      <w:hyperlink r:id="rId6" w:anchor="3333" w:history="1">
        <w:r w:rsidRPr="00BC52E0">
          <w:rPr>
            <w:rStyle w:val="a4"/>
            <w:color w:val="808080"/>
            <w:bdr w:val="none" w:sz="0" w:space="0" w:color="auto" w:frame="1"/>
            <w:vertAlign w:val="superscript"/>
          </w:rPr>
          <w:t>3</w:t>
        </w:r>
      </w:hyperlink>
      <w:r w:rsidRPr="00BC52E0">
        <w:rPr>
          <w:color w:val="333333"/>
        </w:rPr>
        <w:t> и Великобритании</w:t>
      </w:r>
      <w:hyperlink r:id="rId7" w:anchor="4444" w:history="1">
        <w:r w:rsidRPr="00BC52E0">
          <w:rPr>
            <w:rStyle w:val="a4"/>
            <w:color w:val="808080"/>
            <w:bdr w:val="none" w:sz="0" w:space="0" w:color="auto" w:frame="1"/>
            <w:vertAlign w:val="superscript"/>
          </w:rPr>
          <w:t>4</w:t>
        </w:r>
      </w:hyperlink>
      <w:r w:rsidRPr="00BC52E0">
        <w:rPr>
          <w:color w:val="333333"/>
        </w:rPr>
        <w:t> 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>С 2019 года запрещено пользоваться мобильными телефонами в школах провинции Онтарио (Канада)</w:t>
      </w:r>
      <w:hyperlink r:id="rId8" w:anchor="5555" w:history="1">
        <w:r w:rsidRPr="00BC52E0">
          <w:rPr>
            <w:rStyle w:val="a4"/>
            <w:color w:val="808080"/>
            <w:bdr w:val="none" w:sz="0" w:space="0" w:color="auto" w:frame="1"/>
            <w:vertAlign w:val="superscript"/>
          </w:rPr>
          <w:t>5</w:t>
        </w:r>
      </w:hyperlink>
      <w:r w:rsidRPr="00BC52E0">
        <w:rPr>
          <w:color w:val="333333"/>
        </w:rPr>
        <w:t> и в штате Новый Южный Уэльс (Австралия)</w:t>
      </w:r>
      <w:hyperlink r:id="rId9" w:anchor="6666" w:history="1">
        <w:r w:rsidRPr="00BC52E0">
          <w:rPr>
            <w:rStyle w:val="a4"/>
            <w:color w:val="808080"/>
            <w:bdr w:val="none" w:sz="0" w:space="0" w:color="auto" w:frame="1"/>
            <w:vertAlign w:val="superscript"/>
          </w:rPr>
          <w:t>6</w:t>
        </w:r>
      </w:hyperlink>
      <w:r w:rsidRPr="00BC52E0">
        <w:rPr>
          <w:color w:val="333333"/>
        </w:rPr>
        <w:t>.</w:t>
      </w:r>
    </w:p>
    <w:p w:rsidR="00BC52E0" w:rsidRPr="00BC52E0" w:rsidRDefault="00BC52E0" w:rsidP="00BC52E0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</w:rPr>
      </w:pPr>
      <w:r w:rsidRPr="00BC52E0">
        <w:rPr>
          <w:color w:val="333333"/>
        </w:rPr>
        <w:t>Запрещено пользоваться мобильными телефонами с 2012 года в Малайзии и Нигерии, с 2013 года - в Уганде</w:t>
      </w:r>
      <w:hyperlink r:id="rId10" w:anchor="7777" w:history="1">
        <w:r w:rsidRPr="00BC52E0">
          <w:rPr>
            <w:rStyle w:val="a4"/>
            <w:color w:val="808080"/>
            <w:bdr w:val="none" w:sz="0" w:space="0" w:color="auto" w:frame="1"/>
            <w:vertAlign w:val="superscript"/>
          </w:rPr>
          <w:t>7</w:t>
        </w:r>
      </w:hyperlink>
      <w:r w:rsidRPr="00BC52E0">
        <w:rPr>
          <w:color w:val="333333"/>
        </w:rPr>
        <w:t>.</w:t>
      </w:r>
    </w:p>
    <w:p w:rsidR="00230C00" w:rsidRPr="00BC52E0" w:rsidRDefault="00230C00" w:rsidP="00BC52E0">
      <w:pPr>
        <w:jc w:val="both"/>
        <w:rPr>
          <w:rFonts w:cs="Times New Roman"/>
        </w:rPr>
      </w:pPr>
    </w:p>
    <w:sectPr w:rsidR="00230C00" w:rsidRPr="00BC52E0" w:rsidSect="0023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2E0"/>
    <w:rsid w:val="00230C00"/>
    <w:rsid w:val="00311276"/>
    <w:rsid w:val="00835012"/>
    <w:rsid w:val="00BC52E0"/>
    <w:rsid w:val="00EB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E0"/>
    <w:pPr>
      <w:widowControl w:val="0"/>
      <w:suppressAutoHyphens/>
      <w:spacing w:after="0" w:line="240" w:lineRule="auto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BC52E0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2E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52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BC5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161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251613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51613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2516130/" TargetMode="External"/><Relationship Id="rId10" Type="http://schemas.openxmlformats.org/officeDocument/2006/relationships/hyperlink" Target="https://www.garant.ru/products/ipo/prime/doc/72516130/" TargetMode="External"/><Relationship Id="rId4" Type="http://schemas.openxmlformats.org/officeDocument/2006/relationships/hyperlink" Target="https://www.garant.ru/products/ipo/prime/doc/72516130/" TargetMode="External"/><Relationship Id="rId9" Type="http://schemas.openxmlformats.org/officeDocument/2006/relationships/hyperlink" Target="https://www.garant.ru/products/ipo/prime/doc/72516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2019-09-20T10:34:00Z</dcterms:created>
  <dcterms:modified xsi:type="dcterms:W3CDTF">2019-09-20T10:35:00Z</dcterms:modified>
</cp:coreProperties>
</file>